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782F" w14:textId="55929DAA" w:rsidR="002B7899" w:rsidRDefault="004E523C" w:rsidP="004B43EC">
      <w:pPr>
        <w:pStyle w:val="ListParagraph"/>
        <w:numPr>
          <w:ilvl w:val="0"/>
          <w:numId w:val="1"/>
        </w:numPr>
        <w:tabs>
          <w:tab w:val="clear" w:pos="720"/>
          <w:tab w:val="num" w:pos="360"/>
        </w:tabs>
        <w:spacing w:before="240"/>
        <w:ind w:left="357" w:hanging="357"/>
        <w:jc w:val="both"/>
        <w:rPr>
          <w:rFonts w:ascii="Arial" w:hAnsi="Arial" w:cs="Arial"/>
          <w:sz w:val="22"/>
          <w:szCs w:val="22"/>
        </w:rPr>
      </w:pPr>
      <w:r w:rsidRPr="004E523C">
        <w:rPr>
          <w:rFonts w:ascii="Arial" w:hAnsi="Arial" w:cs="Arial"/>
          <w:sz w:val="22"/>
          <w:szCs w:val="22"/>
        </w:rPr>
        <w:t xml:space="preserve">In the 2019-20 State Budget the Government announced a review of Queensland’s petroleum royalty regime. The objectives of the review were to ensure greater certainty, equity and simplicity, and identify opportunities to simplify the current petroleum royalty regime, while providing an appropriate return to Queenslanders from their valuable non-renewable resources. </w:t>
      </w:r>
    </w:p>
    <w:p w14:paraId="603FB416" w14:textId="77777777" w:rsidR="00702897" w:rsidRDefault="004E523C" w:rsidP="004B43EC">
      <w:pPr>
        <w:pStyle w:val="ListParagraph"/>
        <w:numPr>
          <w:ilvl w:val="0"/>
          <w:numId w:val="1"/>
        </w:numPr>
        <w:tabs>
          <w:tab w:val="clear" w:pos="720"/>
          <w:tab w:val="num" w:pos="360"/>
        </w:tabs>
        <w:spacing w:before="240"/>
        <w:ind w:left="357" w:hanging="357"/>
        <w:jc w:val="both"/>
        <w:rPr>
          <w:rFonts w:ascii="Arial" w:hAnsi="Arial" w:cs="Arial"/>
          <w:sz w:val="22"/>
          <w:szCs w:val="22"/>
        </w:rPr>
      </w:pPr>
      <w:r w:rsidRPr="00702897">
        <w:rPr>
          <w:rFonts w:ascii="Arial" w:hAnsi="Arial" w:cs="Arial"/>
          <w:sz w:val="22"/>
          <w:szCs w:val="22"/>
        </w:rPr>
        <w:t>The review, independently chaired by the Honourable Jay Weatherill, was undertaken by a working group comprising industry representative bodies a</w:t>
      </w:r>
      <w:r w:rsidR="002B7899" w:rsidRPr="00702897">
        <w:rPr>
          <w:rFonts w:ascii="Arial" w:hAnsi="Arial" w:cs="Arial"/>
          <w:sz w:val="22"/>
          <w:szCs w:val="22"/>
        </w:rPr>
        <w:t>nd the Office of State Revenue.</w:t>
      </w:r>
      <w:r w:rsidR="00702897">
        <w:rPr>
          <w:rFonts w:ascii="Arial" w:hAnsi="Arial" w:cs="Arial"/>
          <w:sz w:val="22"/>
          <w:szCs w:val="22"/>
        </w:rPr>
        <w:t xml:space="preserve"> </w:t>
      </w:r>
      <w:r w:rsidR="004B57A1" w:rsidRPr="00702897">
        <w:rPr>
          <w:rFonts w:ascii="Arial" w:hAnsi="Arial" w:cs="Arial"/>
          <w:sz w:val="22"/>
          <w:szCs w:val="22"/>
        </w:rPr>
        <w:t>Following b</w:t>
      </w:r>
      <w:r w:rsidR="002B7899" w:rsidRPr="00702897">
        <w:rPr>
          <w:rFonts w:ascii="Arial" w:hAnsi="Arial" w:cs="Arial"/>
          <w:sz w:val="22"/>
          <w:szCs w:val="22"/>
        </w:rPr>
        <w:t>road consultation</w:t>
      </w:r>
      <w:r w:rsidR="00702897" w:rsidRPr="00702897">
        <w:rPr>
          <w:rFonts w:ascii="Arial" w:hAnsi="Arial" w:cs="Arial"/>
          <w:sz w:val="22"/>
          <w:szCs w:val="22"/>
        </w:rPr>
        <w:t xml:space="preserve"> and consideration of alternative models</w:t>
      </w:r>
      <w:r w:rsidR="004B57A1" w:rsidRPr="00702897">
        <w:rPr>
          <w:rFonts w:ascii="Arial" w:hAnsi="Arial" w:cs="Arial"/>
          <w:sz w:val="22"/>
          <w:szCs w:val="22"/>
        </w:rPr>
        <w:t xml:space="preserve">, the review concluded the current petroleum royalty regime is not suitable for the existing configuration of the Queensland gas industry. </w:t>
      </w:r>
    </w:p>
    <w:p w14:paraId="5BB9D009" w14:textId="7C9691B9" w:rsidR="00702897" w:rsidRPr="00702897" w:rsidRDefault="004B57A1" w:rsidP="004B43EC">
      <w:pPr>
        <w:pStyle w:val="ListParagraph"/>
        <w:numPr>
          <w:ilvl w:val="0"/>
          <w:numId w:val="1"/>
        </w:numPr>
        <w:tabs>
          <w:tab w:val="clear" w:pos="720"/>
          <w:tab w:val="num" w:pos="360"/>
        </w:tabs>
        <w:spacing w:before="240"/>
        <w:ind w:left="357" w:hanging="357"/>
        <w:jc w:val="both"/>
        <w:rPr>
          <w:rFonts w:ascii="Arial" w:hAnsi="Arial" w:cs="Arial"/>
          <w:sz w:val="22"/>
          <w:szCs w:val="22"/>
        </w:rPr>
      </w:pPr>
      <w:r w:rsidRPr="00702897">
        <w:rPr>
          <w:rFonts w:ascii="Arial" w:hAnsi="Arial" w:cs="Arial"/>
          <w:sz w:val="22"/>
          <w:szCs w:val="22"/>
        </w:rPr>
        <w:t xml:space="preserve">The review therefore recommended the current wellhead value model be discontinued and petroleum royalty instead be determined based on the volume of petroleum produced. </w:t>
      </w:r>
      <w:r w:rsidR="00702897" w:rsidRPr="00702897">
        <w:rPr>
          <w:rFonts w:ascii="Arial" w:hAnsi="Arial" w:cs="Arial"/>
          <w:sz w:val="22"/>
          <w:szCs w:val="22"/>
        </w:rPr>
        <w:t xml:space="preserve">The review also recommended the new petroleum royalty regime settings not be changed for five years. </w:t>
      </w:r>
    </w:p>
    <w:p w14:paraId="14F15635" w14:textId="556668D2" w:rsidR="004E523C" w:rsidRPr="00702897" w:rsidRDefault="00702897" w:rsidP="004B43EC">
      <w:pPr>
        <w:pStyle w:val="ListParagraph"/>
        <w:numPr>
          <w:ilvl w:val="0"/>
          <w:numId w:val="1"/>
        </w:numPr>
        <w:tabs>
          <w:tab w:val="clear" w:pos="720"/>
          <w:tab w:val="num" w:pos="360"/>
        </w:tabs>
        <w:spacing w:before="240"/>
        <w:ind w:left="357" w:hanging="357"/>
        <w:jc w:val="both"/>
        <w:rPr>
          <w:rFonts w:ascii="Arial" w:hAnsi="Arial" w:cs="Arial"/>
          <w:sz w:val="22"/>
          <w:szCs w:val="22"/>
          <w:u w:val="single"/>
        </w:rPr>
      </w:pPr>
      <w:r w:rsidRPr="00702897">
        <w:rPr>
          <w:rFonts w:ascii="Arial" w:hAnsi="Arial" w:cs="Arial"/>
          <w:sz w:val="22"/>
          <w:szCs w:val="22"/>
        </w:rPr>
        <w:t xml:space="preserve">Industry sought </w:t>
      </w:r>
      <w:r w:rsidR="004B57A1" w:rsidRPr="00702897">
        <w:rPr>
          <w:rFonts w:ascii="Arial" w:hAnsi="Arial" w:cs="Arial"/>
          <w:sz w:val="22"/>
          <w:szCs w:val="22"/>
        </w:rPr>
        <w:t xml:space="preserve">the royalty rate be set by reference to a </w:t>
      </w:r>
      <w:r w:rsidRPr="00702897">
        <w:rPr>
          <w:rFonts w:ascii="Arial" w:hAnsi="Arial" w:cs="Arial"/>
          <w:sz w:val="22"/>
          <w:szCs w:val="22"/>
        </w:rPr>
        <w:t xml:space="preserve">petroleum </w:t>
      </w:r>
      <w:r w:rsidR="004B57A1" w:rsidRPr="00702897">
        <w:rPr>
          <w:rFonts w:ascii="Arial" w:hAnsi="Arial" w:cs="Arial"/>
          <w:sz w:val="22"/>
          <w:szCs w:val="22"/>
        </w:rPr>
        <w:t>producer’s sales revenue</w:t>
      </w:r>
      <w:r w:rsidR="002B7899" w:rsidRPr="00702897">
        <w:rPr>
          <w:rFonts w:ascii="Arial" w:hAnsi="Arial" w:cs="Arial"/>
          <w:sz w:val="22"/>
          <w:szCs w:val="22"/>
        </w:rPr>
        <w:t xml:space="preserve"> </w:t>
      </w:r>
      <w:r w:rsidRPr="00702897">
        <w:rPr>
          <w:rFonts w:ascii="Arial" w:hAnsi="Arial" w:cs="Arial"/>
          <w:sz w:val="22"/>
          <w:szCs w:val="22"/>
        </w:rPr>
        <w:t>during a royalty return period.</w:t>
      </w:r>
    </w:p>
    <w:p w14:paraId="6FFDFFE5" w14:textId="1F14574C" w:rsidR="002B7899" w:rsidRPr="00702897" w:rsidRDefault="004E523C" w:rsidP="004B43EC">
      <w:pPr>
        <w:pStyle w:val="ListParagraph"/>
        <w:numPr>
          <w:ilvl w:val="0"/>
          <w:numId w:val="1"/>
        </w:numPr>
        <w:tabs>
          <w:tab w:val="clear" w:pos="720"/>
          <w:tab w:val="num" w:pos="360"/>
        </w:tabs>
        <w:spacing w:before="240"/>
        <w:ind w:left="357" w:hanging="357"/>
        <w:jc w:val="both"/>
        <w:rPr>
          <w:rFonts w:ascii="Arial" w:hAnsi="Arial" w:cs="Arial"/>
          <w:sz w:val="22"/>
          <w:szCs w:val="22"/>
        </w:rPr>
      </w:pPr>
      <w:r w:rsidRPr="00702897">
        <w:rPr>
          <w:rFonts w:ascii="Arial" w:hAnsi="Arial" w:cs="Arial"/>
          <w:sz w:val="22"/>
          <w:szCs w:val="22"/>
          <w:u w:val="single"/>
        </w:rPr>
        <w:t>Cabinet approved</w:t>
      </w:r>
      <w:r w:rsidRPr="00702897">
        <w:rPr>
          <w:rFonts w:ascii="Arial" w:hAnsi="Arial" w:cs="Arial"/>
          <w:sz w:val="22"/>
          <w:szCs w:val="22"/>
        </w:rPr>
        <w:t xml:space="preserve"> </w:t>
      </w:r>
      <w:r w:rsidR="00702897" w:rsidRPr="00702897">
        <w:rPr>
          <w:rFonts w:ascii="Arial" w:hAnsi="Arial" w:cs="Arial"/>
          <w:sz w:val="22"/>
          <w:szCs w:val="22"/>
        </w:rPr>
        <w:t>preparation of legislation to support implementation of the volume model for imposing petroleum royalty from 1 October 2020.</w:t>
      </w:r>
    </w:p>
    <w:p w14:paraId="552A1E1F" w14:textId="74B764FC" w:rsidR="004E523C" w:rsidRDefault="002B7899" w:rsidP="004B43EC">
      <w:pPr>
        <w:pStyle w:val="ListParagraph"/>
        <w:numPr>
          <w:ilvl w:val="0"/>
          <w:numId w:val="1"/>
        </w:numPr>
        <w:tabs>
          <w:tab w:val="clear" w:pos="720"/>
          <w:tab w:val="num" w:pos="360"/>
        </w:tabs>
        <w:spacing w:before="240"/>
        <w:ind w:left="357" w:hanging="357"/>
        <w:jc w:val="both"/>
        <w:rPr>
          <w:rFonts w:ascii="Arial" w:hAnsi="Arial" w:cs="Arial"/>
          <w:sz w:val="22"/>
          <w:szCs w:val="22"/>
        </w:rPr>
      </w:pPr>
      <w:r w:rsidRPr="00702897">
        <w:rPr>
          <w:rFonts w:ascii="Arial" w:hAnsi="Arial" w:cs="Arial"/>
          <w:sz w:val="22"/>
          <w:szCs w:val="22"/>
          <w:u w:val="single"/>
        </w:rPr>
        <w:t>Cabinet approved</w:t>
      </w:r>
      <w:r w:rsidRPr="004B43EC">
        <w:rPr>
          <w:rFonts w:ascii="Arial" w:hAnsi="Arial" w:cs="Arial"/>
          <w:sz w:val="22"/>
          <w:szCs w:val="22"/>
        </w:rPr>
        <w:t xml:space="preserve"> </w:t>
      </w:r>
      <w:r w:rsidR="00702897" w:rsidRPr="00702897">
        <w:rPr>
          <w:rFonts w:ascii="Arial" w:hAnsi="Arial" w:cs="Arial"/>
          <w:sz w:val="22"/>
          <w:szCs w:val="22"/>
        </w:rPr>
        <w:t>the volume model settings not be changed for five years from the date of commencement.</w:t>
      </w:r>
    </w:p>
    <w:p w14:paraId="3AAA1CC5" w14:textId="737ADC34" w:rsidR="004B43EC" w:rsidRDefault="004B43EC" w:rsidP="00E27C25">
      <w:pPr>
        <w:pStyle w:val="ListParagraph"/>
        <w:numPr>
          <w:ilvl w:val="0"/>
          <w:numId w:val="1"/>
        </w:numPr>
        <w:tabs>
          <w:tab w:val="clear" w:pos="720"/>
          <w:tab w:val="num" w:pos="360"/>
        </w:tabs>
        <w:spacing w:before="360"/>
        <w:ind w:left="357" w:hanging="357"/>
        <w:jc w:val="both"/>
        <w:rPr>
          <w:rFonts w:ascii="Arial" w:hAnsi="Arial" w:cs="Arial"/>
          <w:sz w:val="22"/>
          <w:szCs w:val="22"/>
        </w:rPr>
      </w:pPr>
      <w:r w:rsidRPr="004B43EC">
        <w:rPr>
          <w:rFonts w:ascii="Arial" w:hAnsi="Arial" w:cs="Arial"/>
          <w:i/>
          <w:iCs/>
          <w:sz w:val="22"/>
          <w:szCs w:val="22"/>
          <w:u w:val="single"/>
        </w:rPr>
        <w:t>Attachments</w:t>
      </w:r>
      <w:r>
        <w:rPr>
          <w:rFonts w:ascii="Arial" w:hAnsi="Arial" w:cs="Arial"/>
          <w:sz w:val="22"/>
          <w:szCs w:val="22"/>
        </w:rPr>
        <w:t>:</w:t>
      </w:r>
    </w:p>
    <w:p w14:paraId="4B5E9BE5" w14:textId="0D410E59" w:rsidR="004B43EC" w:rsidRPr="004B43EC" w:rsidRDefault="004B43EC" w:rsidP="00E27C25">
      <w:pPr>
        <w:pStyle w:val="ListParagraph"/>
        <w:numPr>
          <w:ilvl w:val="0"/>
          <w:numId w:val="5"/>
        </w:numPr>
        <w:spacing w:before="120"/>
        <w:ind w:left="714" w:hanging="357"/>
        <w:jc w:val="both"/>
        <w:rPr>
          <w:rFonts w:ascii="Arial" w:hAnsi="Arial" w:cs="Arial"/>
          <w:sz w:val="22"/>
          <w:szCs w:val="22"/>
        </w:rPr>
      </w:pPr>
      <w:r>
        <w:rPr>
          <w:rFonts w:ascii="Arial" w:hAnsi="Arial" w:cs="Arial"/>
          <w:sz w:val="22"/>
          <w:szCs w:val="22"/>
        </w:rPr>
        <w:t>Nil.</w:t>
      </w:r>
    </w:p>
    <w:sectPr w:rsidR="004B43EC" w:rsidRPr="004B43EC" w:rsidSect="004B43EC">
      <w:headerReference w:type="firs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F62" w14:textId="77777777" w:rsidR="00D918CF" w:rsidRDefault="00D918CF" w:rsidP="00D6589B">
      <w:r>
        <w:separator/>
      </w:r>
    </w:p>
  </w:endnote>
  <w:endnote w:type="continuationSeparator" w:id="0">
    <w:p w14:paraId="31EDB33F" w14:textId="77777777" w:rsidR="00D918CF" w:rsidRDefault="00D918C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E923" w14:textId="77777777" w:rsidR="00D918CF" w:rsidRDefault="00D918CF" w:rsidP="00D6589B">
      <w:r>
        <w:separator/>
      </w:r>
    </w:p>
  </w:footnote>
  <w:footnote w:type="continuationSeparator" w:id="0">
    <w:p w14:paraId="51012A05" w14:textId="77777777" w:rsidR="00D918CF" w:rsidRDefault="00D918CF"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C204"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D840BEF" w14:textId="77777777" w:rsidR="00183845" w:rsidRPr="00937A4A"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7DCAD305" w14:textId="7C31416C" w:rsidR="00183845" w:rsidRPr="004E523C"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4E523C">
      <w:rPr>
        <w:rFonts w:ascii="Arial" w:hAnsi="Arial" w:cs="Arial"/>
        <w:b/>
        <w:color w:val="auto"/>
        <w:sz w:val="22"/>
        <w:szCs w:val="22"/>
        <w:lang w:eastAsia="en-US"/>
      </w:rPr>
      <w:t xml:space="preserve">Cabinet – </w:t>
    </w:r>
    <w:r w:rsidR="004E523C" w:rsidRPr="004E523C">
      <w:rPr>
        <w:rFonts w:ascii="Arial" w:hAnsi="Arial" w:cs="Arial"/>
        <w:b/>
        <w:color w:val="auto"/>
        <w:sz w:val="22"/>
        <w:szCs w:val="22"/>
        <w:lang w:eastAsia="en-US"/>
      </w:rPr>
      <w:t>June 2020</w:t>
    </w:r>
  </w:p>
  <w:p w14:paraId="690E691D" w14:textId="2D0FD8E6" w:rsidR="00183845" w:rsidRPr="004E523C" w:rsidRDefault="004E523C" w:rsidP="00E27C25">
    <w:pPr>
      <w:pStyle w:val="Header"/>
      <w:spacing w:before="120"/>
      <w:rPr>
        <w:rFonts w:ascii="Arial" w:hAnsi="Arial" w:cs="Arial"/>
        <w:b/>
        <w:color w:val="auto"/>
        <w:sz w:val="22"/>
        <w:szCs w:val="22"/>
        <w:u w:val="single"/>
      </w:rPr>
    </w:pPr>
    <w:r w:rsidRPr="004E523C">
      <w:rPr>
        <w:rFonts w:ascii="Arial" w:hAnsi="Arial" w:cs="Arial"/>
        <w:b/>
        <w:color w:val="auto"/>
        <w:sz w:val="22"/>
        <w:szCs w:val="22"/>
        <w:u w:val="single"/>
      </w:rPr>
      <w:t>Petroleum Royalty Review</w:t>
    </w:r>
  </w:p>
  <w:p w14:paraId="68E378F1" w14:textId="2DDEA994" w:rsidR="007D773C" w:rsidRPr="007D773C" w:rsidRDefault="00AC6E68" w:rsidP="00E27C25">
    <w:pPr>
      <w:pStyle w:val="Header"/>
      <w:spacing w:before="120"/>
      <w:jc w:val="both"/>
      <w:rPr>
        <w:rFonts w:ascii="Arial" w:hAnsi="Arial" w:cs="Arial"/>
        <w:b/>
        <w:sz w:val="22"/>
        <w:szCs w:val="22"/>
        <w:u w:val="single"/>
      </w:rPr>
    </w:pPr>
    <w:r>
      <w:rPr>
        <w:rFonts w:ascii="Arial" w:hAnsi="Arial" w:cs="Arial"/>
        <w:b/>
        <w:sz w:val="22"/>
        <w:szCs w:val="22"/>
        <w:u w:val="single"/>
      </w:rPr>
      <w:t>Treasurer</w:t>
    </w:r>
    <w:r w:rsidR="00663133">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sidR="00663133">
      <w:rPr>
        <w:rFonts w:ascii="Arial" w:hAnsi="Arial" w:cs="Arial"/>
        <w:b/>
        <w:sz w:val="22"/>
        <w:szCs w:val="22"/>
        <w:u w:val="single"/>
      </w:rPr>
      <w:t>Infrastructure and Planning</w:t>
    </w:r>
  </w:p>
  <w:p w14:paraId="79A3959B" w14:textId="77777777" w:rsidR="00183845" w:rsidRDefault="00183845" w:rsidP="00E27C25">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1986"/>
    <w:multiLevelType w:val="hybridMultilevel"/>
    <w:tmpl w:val="C67AE648"/>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16cid:durableId="1425298951">
    <w:abstractNumId w:val="3"/>
  </w:num>
  <w:num w:numId="2" w16cid:durableId="35931474">
    <w:abstractNumId w:val="2"/>
  </w:num>
  <w:num w:numId="3" w16cid:durableId="1878001849">
    <w:abstractNumId w:val="1"/>
  </w:num>
  <w:num w:numId="4" w16cid:durableId="249777220">
    <w:abstractNumId w:val="4"/>
  </w:num>
  <w:num w:numId="5" w16cid:durableId="1341546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EC"/>
    <w:rsid w:val="00027AE8"/>
    <w:rsid w:val="00080F8F"/>
    <w:rsid w:val="00081486"/>
    <w:rsid w:val="00086AFE"/>
    <w:rsid w:val="0010384C"/>
    <w:rsid w:val="00174117"/>
    <w:rsid w:val="00183845"/>
    <w:rsid w:val="001C42A5"/>
    <w:rsid w:val="00214B0B"/>
    <w:rsid w:val="002B7899"/>
    <w:rsid w:val="00356DF6"/>
    <w:rsid w:val="003804B0"/>
    <w:rsid w:val="00396F0D"/>
    <w:rsid w:val="003B7ACB"/>
    <w:rsid w:val="004B43EC"/>
    <w:rsid w:val="004B57A1"/>
    <w:rsid w:val="004E523C"/>
    <w:rsid w:val="00501C66"/>
    <w:rsid w:val="00537E53"/>
    <w:rsid w:val="00550873"/>
    <w:rsid w:val="0059564F"/>
    <w:rsid w:val="00663133"/>
    <w:rsid w:val="00702897"/>
    <w:rsid w:val="007265D0"/>
    <w:rsid w:val="00732E22"/>
    <w:rsid w:val="007372BD"/>
    <w:rsid w:val="00741C20"/>
    <w:rsid w:val="007D1508"/>
    <w:rsid w:val="007D67A5"/>
    <w:rsid w:val="007D773C"/>
    <w:rsid w:val="0083303D"/>
    <w:rsid w:val="00904077"/>
    <w:rsid w:val="00937A4A"/>
    <w:rsid w:val="00945402"/>
    <w:rsid w:val="00996782"/>
    <w:rsid w:val="009B15D3"/>
    <w:rsid w:val="009D695C"/>
    <w:rsid w:val="00A15F09"/>
    <w:rsid w:val="00AC6E68"/>
    <w:rsid w:val="00B54546"/>
    <w:rsid w:val="00C75E67"/>
    <w:rsid w:val="00C85DF6"/>
    <w:rsid w:val="00CB1501"/>
    <w:rsid w:val="00CD6F5E"/>
    <w:rsid w:val="00CD7A50"/>
    <w:rsid w:val="00CE72FE"/>
    <w:rsid w:val="00CF058D"/>
    <w:rsid w:val="00CF0D8A"/>
    <w:rsid w:val="00D13A7C"/>
    <w:rsid w:val="00D1740E"/>
    <w:rsid w:val="00D315D1"/>
    <w:rsid w:val="00D6589B"/>
    <w:rsid w:val="00D766EC"/>
    <w:rsid w:val="00D918CF"/>
    <w:rsid w:val="00E27C25"/>
    <w:rsid w:val="00EA2700"/>
    <w:rsid w:val="00EA488B"/>
    <w:rsid w:val="00F13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C8A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4E523C"/>
    <w:pPr>
      <w:ind w:left="720"/>
    </w:pPr>
  </w:style>
  <w:style w:type="paragraph" w:styleId="Revision">
    <w:name w:val="Revision"/>
    <w:hidden/>
    <w:uiPriority w:val="99"/>
    <w:semiHidden/>
    <w:rsid w:val="004B43EC"/>
    <w:rPr>
      <w:rFonts w:ascii="Times New Roman" w:eastAsia="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6" ma:contentTypeDescription="Create a new document." ma:contentTypeScope="" ma:versionID="87bd04697882a21302223ad9bb97502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7709fac38f0d45dc577096e22a373dff"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63e311de-a790-43ff-be63-577c26c7507c" xsi:nil="true"/>
    <lcf76f155ced4ddcb4097134ff3c332f xmlns="b8ed82f2-f7bd-423c-8698-5e132afe92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B3DC68-6E62-44AA-BBC6-EF77E043C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C453BD-9819-443C-9161-D8D3A37D90FA}">
  <ds:schemaRefs>
    <ds:schemaRef ds:uri="http://schemas.microsoft.com/sharepoint/v3/contenttype/forms"/>
  </ds:schemaRefs>
</ds:datastoreItem>
</file>

<file path=customXml/itemProps3.xml><?xml version="1.0" encoding="utf-8"?>
<ds:datastoreItem xmlns:ds="http://schemas.openxmlformats.org/officeDocument/2006/customXml" ds:itemID="{143F5882-94F1-4A57-A915-C93AEFB900AF}">
  <ds:schemaRefs>
    <ds:schemaRef ds:uri="http://schemas.microsoft.com/office/2006/metadata/longProperties"/>
  </ds:schemaRefs>
</ds:datastoreItem>
</file>

<file path=customXml/itemProps4.xml><?xml version="1.0" encoding="utf-8"?>
<ds:datastoreItem xmlns:ds="http://schemas.openxmlformats.org/officeDocument/2006/customXml" ds:itemID="{3F21298D-73FC-4BCD-B731-FB58BAC8028A}">
  <ds:schemaRefs>
    <ds:schemaRef ds:uri="http://schemas.microsoft.com/office/2006/metadata/properties"/>
    <ds:schemaRef ds:uri="http://schemas.microsoft.com/office/infopath/2007/PartnerControls"/>
    <ds:schemaRef ds:uri="63e311de-a790-43ff-be63-577c26c7507c"/>
    <ds:schemaRef ds:uri="b8ed82f2-f7bd-423c-8698-5e132afe9245"/>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53</TotalTime>
  <Pages>1</Pages>
  <Words>209</Words>
  <Characters>1223</Characters>
  <Application>Microsoft Office Word</Application>
  <DocSecurity>0</DocSecurity>
  <Lines>21</Lines>
  <Paragraphs>8</Paragraphs>
  <ScaleCrop>false</ScaleCrop>
  <HeadingPairs>
    <vt:vector size="2" baseType="variant">
      <vt:variant>
        <vt:lpstr>Title</vt:lpstr>
      </vt:variant>
      <vt:variant>
        <vt:i4>1</vt:i4>
      </vt:variant>
    </vt:vector>
  </HeadingPairs>
  <TitlesOfParts>
    <vt:vector size="1" baseType="lpstr">
      <vt:lpstr>Template - Proactive Release Attachment.docx</vt:lpstr>
    </vt:vector>
  </TitlesOfParts>
  <Company/>
  <LinksUpToDate>false</LinksUpToDate>
  <CharactersWithSpaces>1428</CharactersWithSpaces>
  <SharedDoc>false</SharedDoc>
  <HyperlinkBase>https://www.cabinet.qld.gov.au/documents/2020/Jun/PetrolRoyaltyRev/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11</cp:revision>
  <cp:lastPrinted>2021-05-11T01:20:00Z</cp:lastPrinted>
  <dcterms:created xsi:type="dcterms:W3CDTF">2020-05-12T00:48:00Z</dcterms:created>
  <dcterms:modified xsi:type="dcterms:W3CDTF">2022-12-09T05:58:00Z</dcterms:modified>
  <cp:category>Financial_Administration,Gas,Legislation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-1271575835</vt:i4>
  </property>
  <property fmtid="{D5CDD505-2E9C-101B-9397-08002B2CF9AE}" pid="3" name="_NewReviewCycle">
    <vt:lpwstr/>
  </property>
  <property fmtid="{D5CDD505-2E9C-101B-9397-08002B2CF9AE}" pid="4" name="_ReviewingToolsShownOnce">
    <vt:lpwstr/>
  </property>
  <property fmtid="{D5CDD505-2E9C-101B-9397-08002B2CF9AE}" pid="5" name="_dlc_DocId">
    <vt:lpwstr>BUSNCLLO-64-14</vt:lpwstr>
  </property>
  <property fmtid="{D5CDD505-2E9C-101B-9397-08002B2CF9AE}" pid="6" name="_dlc_DocIdItemGuid">
    <vt:lpwstr>97b33f1b-c961-4133-bef3-06f05f4beefa</vt:lpwstr>
  </property>
  <property fmtid="{D5CDD505-2E9C-101B-9397-08002B2CF9AE}" pid="7" name="_dlc_DocIdUrl">
    <vt:lpwstr>https://nexus.treasury.qld.gov.au/business/cabinet-services-56/cab-sub/_layouts/DocIdRedir.aspx?ID=BUSNCLLO-64-14, BUSNCLLO-64-14</vt:lpwstr>
  </property>
  <property fmtid="{D5CDD505-2E9C-101B-9397-08002B2CF9AE}" pid="8" name="RecordPoint_WorkflowType">
    <vt:lpwstr>ActiveSubmitStub</vt:lpwstr>
  </property>
  <property fmtid="{D5CDD505-2E9C-101B-9397-08002B2CF9AE}" pid="9" name="RecordPoint_ActiveItemSiteId">
    <vt:lpwstr>{af87e0f8-faf5-4f69-bfbc-eaa3de8a0820}</vt:lpwstr>
  </property>
  <property fmtid="{D5CDD505-2E9C-101B-9397-08002B2CF9AE}" pid="10" name="RecordPoint_ActiveItemListId">
    <vt:lpwstr>{ac6b86bc-0eee-4313-b4e3-15dc69801913}</vt:lpwstr>
  </property>
  <property fmtid="{D5CDD505-2E9C-101B-9397-08002B2CF9AE}" pid="11" name="RecordPoint_ActiveItemUniqueId">
    <vt:lpwstr>{177ec7bd-fc12-4fce-bef7-260e2f961cbb}</vt:lpwstr>
  </property>
  <property fmtid="{D5CDD505-2E9C-101B-9397-08002B2CF9AE}" pid="12" name="RecordPoint_ActiveItemWebId">
    <vt:lpwstr>{87a6b88f-503e-4c2f-9190-c5dbda5856b8}</vt:lpwstr>
  </property>
  <property fmtid="{D5CDD505-2E9C-101B-9397-08002B2CF9AE}" pid="13" name="RecordPoint_SubmissionCompleted">
    <vt:lpwstr>2020-09-24T21:07:01.3708664+10:00</vt:lpwstr>
  </property>
  <property fmtid="{D5CDD505-2E9C-101B-9397-08002B2CF9AE}" pid="14" name="RecordPoint_RecordNumberSubmitted">
    <vt:lpwstr>R0001807840</vt:lpwstr>
  </property>
  <property fmtid="{D5CDD505-2E9C-101B-9397-08002B2CF9AE}" pid="15" name="Conversation">
    <vt:lpwstr/>
  </property>
  <property fmtid="{D5CDD505-2E9C-101B-9397-08002B2CF9AE}" pid="16" name="To-Address">
    <vt:lpwstr/>
  </property>
  <property fmtid="{D5CDD505-2E9C-101B-9397-08002B2CF9AE}" pid="17" name="Bcc-Type">
    <vt:lpwstr/>
  </property>
  <property fmtid="{D5CDD505-2E9C-101B-9397-08002B2CF9AE}" pid="18" name="From-Address">
    <vt:lpwstr/>
  </property>
  <property fmtid="{D5CDD505-2E9C-101B-9397-08002B2CF9AE}" pid="19" name="From-Type">
    <vt:lpwstr/>
  </property>
  <property fmtid="{D5CDD505-2E9C-101B-9397-08002B2CF9AE}" pid="20" name="Bcc">
    <vt:lpwstr/>
  </property>
  <property fmtid="{D5CDD505-2E9C-101B-9397-08002B2CF9AE}" pid="21" name="Signed By">
    <vt:lpwstr/>
  </property>
  <property fmtid="{D5CDD505-2E9C-101B-9397-08002B2CF9AE}" pid="22" name="To-Type">
    <vt:lpwstr/>
  </property>
  <property fmtid="{D5CDD505-2E9C-101B-9397-08002B2CF9AE}" pid="23" name="Bcc-Address">
    <vt:lpwstr/>
  </property>
  <property fmtid="{D5CDD505-2E9C-101B-9397-08002B2CF9AE}" pid="24" name="Cc-Address">
    <vt:lpwstr/>
  </property>
  <property fmtid="{D5CDD505-2E9C-101B-9397-08002B2CF9AE}" pid="25" name="Cc">
    <vt:lpwstr/>
  </property>
  <property fmtid="{D5CDD505-2E9C-101B-9397-08002B2CF9AE}" pid="26" name="Cc-Type">
    <vt:lpwstr/>
  </property>
  <property fmtid="{D5CDD505-2E9C-101B-9397-08002B2CF9AE}" pid="27" name="To">
    <vt:lpwstr/>
  </property>
  <property fmtid="{D5CDD505-2E9C-101B-9397-08002B2CF9AE}" pid="28" name="From1">
    <vt:lpwstr/>
  </property>
  <property fmtid="{D5CDD505-2E9C-101B-9397-08002B2CF9AE}" pid="29" name="display_urn:schemas-microsoft-com:office:office#Editor">
    <vt:lpwstr>Rosemary Holley</vt:lpwstr>
  </property>
  <property fmtid="{D5CDD505-2E9C-101B-9397-08002B2CF9AE}" pid="30" name="display_urn:schemas-microsoft-com:office:office#Author">
    <vt:lpwstr>Rosemary Holley</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MSIP_Label_5b083577-197b-450c-831d-654cf3f56dc2_Enabled">
    <vt:lpwstr>true</vt:lpwstr>
  </property>
  <property fmtid="{D5CDD505-2E9C-101B-9397-08002B2CF9AE}" pid="35" name="MSIP_Label_5b083577-197b-450c-831d-654cf3f56dc2_SetDate">
    <vt:lpwstr>2020-05-12T00:48:20Z</vt:lpwstr>
  </property>
  <property fmtid="{D5CDD505-2E9C-101B-9397-08002B2CF9AE}" pid="36" name="MSIP_Label_5b083577-197b-450c-831d-654cf3f56dc2_Method">
    <vt:lpwstr>Standard</vt:lpwstr>
  </property>
  <property fmtid="{D5CDD505-2E9C-101B-9397-08002B2CF9AE}" pid="37" name="MSIP_Label_5b083577-197b-450c-831d-654cf3f56dc2_Name">
    <vt:lpwstr>OFFICIAL</vt:lpwstr>
  </property>
  <property fmtid="{D5CDD505-2E9C-101B-9397-08002B2CF9AE}" pid="38" name="MSIP_Label_5b083577-197b-450c-831d-654cf3f56dc2_SiteId">
    <vt:lpwstr>823bfb03-da26-4cbf-a7d6-f02dbfdf182e</vt:lpwstr>
  </property>
  <property fmtid="{D5CDD505-2E9C-101B-9397-08002B2CF9AE}" pid="39" name="MSIP_Label_5b083577-197b-450c-831d-654cf3f56dc2_ActionId">
    <vt:lpwstr>5bbf9a58-7fc4-40d1-b84c-000004cd51eb</vt:lpwstr>
  </property>
  <property fmtid="{D5CDD505-2E9C-101B-9397-08002B2CF9AE}" pid="40" name="MSIP_Label_5b083577-197b-450c-831d-654cf3f56dc2_ContentBits">
    <vt:lpwstr>0</vt:lpwstr>
  </property>
  <property fmtid="{D5CDD505-2E9C-101B-9397-08002B2CF9AE}" pid="41" name="ContentTypeId">
    <vt:lpwstr>0x010100781568B1C4394FA28C28FD40A55844C000017350A93E8F6544BC03EC4E98C95A580057ACD46E43BAB14582749730D21DDE9A</vt:lpwstr>
  </property>
  <property fmtid="{D5CDD505-2E9C-101B-9397-08002B2CF9AE}" pid="42" name="_docset_NoMedatataSyncRequired">
    <vt:lpwstr>False</vt:lpwstr>
  </property>
  <property fmtid="{D5CDD505-2E9C-101B-9397-08002B2CF9AE}" pid="43" name="CLLOItemType">
    <vt:lpwstr>34;#Proactive Release|8bbb8a7e-7bf2-4491-95d9-c928604ebc48</vt:lpwstr>
  </property>
  <property fmtid="{D5CDD505-2E9C-101B-9397-08002B2CF9AE}" pid="44" name="QTBusinessOwner">
    <vt:lpwstr>4;#CLLO ＆ Ministerial Srvs|b859c25e-1652-4c10-95bf-24848b43173e</vt:lpwstr>
  </property>
  <property fmtid="{D5CDD505-2E9C-101B-9397-08002B2CF9AE}" pid="45" name="QTSecurityClassification">
    <vt:lpwstr>5;#PROTECTED|be8699ff-9764-4826-89d9-8284c1631fcb</vt:lpwstr>
  </property>
  <property fmtid="{D5CDD505-2E9C-101B-9397-08002B2CF9AE}" pid="46" name="CabNet">
    <vt:lpwstr>CAB-56-1954</vt:lpwstr>
  </property>
  <property fmtid="{D5CDD505-2E9C-101B-9397-08002B2CF9AE}" pid="47" name="QTRetain">
    <vt:lpwstr>104;#Record|2584089d-4b41-46ae-ad46-8a9fb08e05f7</vt:lpwstr>
  </property>
  <property fmtid="{D5CDD505-2E9C-101B-9397-08002B2CF9AE}" pid="48" name="QTActivity">
    <vt:lpwstr>111;#Advice|bf78706c-8141-41e0-a3d3-86bc3f1fe099</vt:lpwstr>
  </property>
  <property fmtid="{D5CDD505-2E9C-101B-9397-08002B2CF9AE}" pid="49" name="MediaServiceImageTags">
    <vt:lpwstr/>
  </property>
  <property fmtid="{D5CDD505-2E9C-101B-9397-08002B2CF9AE}" pid="50" name="MSIP_Label_282828d4-d65e-4c38-b4f3-1feba3142871_Enabled">
    <vt:lpwstr>true</vt:lpwstr>
  </property>
  <property fmtid="{D5CDD505-2E9C-101B-9397-08002B2CF9AE}" pid="51" name="MSIP_Label_282828d4-d65e-4c38-b4f3-1feba3142871_SetDate">
    <vt:lpwstr>2022-12-09T05:58:56Z</vt:lpwstr>
  </property>
  <property fmtid="{D5CDD505-2E9C-101B-9397-08002B2CF9AE}" pid="52" name="MSIP_Label_282828d4-d65e-4c38-b4f3-1feba3142871_Method">
    <vt:lpwstr>Standard</vt:lpwstr>
  </property>
  <property fmtid="{D5CDD505-2E9C-101B-9397-08002B2CF9AE}" pid="53" name="MSIP_Label_282828d4-d65e-4c38-b4f3-1feba3142871_Name">
    <vt:lpwstr>OFFICIAL</vt:lpwstr>
  </property>
  <property fmtid="{D5CDD505-2E9C-101B-9397-08002B2CF9AE}" pid="54" name="MSIP_Label_282828d4-d65e-4c38-b4f3-1feba3142871_SiteId">
    <vt:lpwstr>51778d2a-a6ab-4c76-97dc-782782d65046</vt:lpwstr>
  </property>
  <property fmtid="{D5CDD505-2E9C-101B-9397-08002B2CF9AE}" pid="55" name="MSIP_Label_282828d4-d65e-4c38-b4f3-1feba3142871_ActionId">
    <vt:lpwstr>1166c0f8-6e18-487d-b539-dd749d917e41</vt:lpwstr>
  </property>
  <property fmtid="{D5CDD505-2E9C-101B-9397-08002B2CF9AE}" pid="56" name="MSIP_Label_282828d4-d65e-4c38-b4f3-1feba3142871_ContentBits">
    <vt:lpwstr>0</vt:lpwstr>
  </property>
</Properties>
</file>